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2F78B">
      <w:pPr>
        <w:rPr>
          <w:rFonts w:ascii="Times New Roman" w:hAnsi="Times New Roman" w:eastAsia="Calibri"/>
        </w:rPr>
      </w:pPr>
      <w:bookmarkStart w:id="0" w:name="_GoBack"/>
      <w:bookmarkEnd w:id="0"/>
    </w:p>
    <w:p w14:paraId="0041FC9F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Приложение 1</w:t>
      </w:r>
    </w:p>
    <w:p w14:paraId="68572BF6">
      <w:pPr>
        <w:spacing w:before="0" w:beforeAutospacing="0" w:after="0" w:afterAutospacing="0" w:line="24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</w:t>
      </w:r>
      <w:r>
        <w:rPr>
          <w:rFonts w:hint="default"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</w:rPr>
        <w:t>УТВЕРЖДЕНО</w:t>
      </w:r>
    </w:p>
    <w:p w14:paraId="4410CE41">
      <w:pPr>
        <w:spacing w:before="0" w:beforeAutospacing="0" w:after="0" w:afterAutospacing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и введено в действие</w:t>
      </w:r>
    </w:p>
    <w:p w14:paraId="0697A204">
      <w:pPr>
        <w:spacing w:before="0" w:beforeAutospacing="0" w:after="0" w:afterAutospacing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hint="default" w:ascii="Times New Roman" w:hAnsi="Times New Roman"/>
          <w:lang w:val="ru-RU"/>
        </w:rPr>
        <w:t xml:space="preserve">  </w:t>
      </w:r>
      <w:r>
        <w:rPr>
          <w:rFonts w:ascii="Times New Roman" w:hAnsi="Times New Roman"/>
        </w:rPr>
        <w:t xml:space="preserve">приказом № </w:t>
      </w:r>
      <w:r>
        <w:rPr>
          <w:rFonts w:hint="default" w:ascii="Times New Roman" w:hAnsi="Times New Roman"/>
          <w:lang w:val="ru-RU"/>
        </w:rPr>
        <w:t>52</w:t>
      </w:r>
      <w:r>
        <w:rPr>
          <w:rFonts w:ascii="Times New Roman" w:hAnsi="Times New Roman"/>
        </w:rPr>
        <w:t xml:space="preserve"> от </w:t>
      </w:r>
      <w:r>
        <w:rPr>
          <w:rFonts w:hint="default" w:ascii="Times New Roman" w:hAnsi="Times New Roman"/>
          <w:lang w:val="ru-RU"/>
        </w:rPr>
        <w:t>01</w:t>
      </w:r>
      <w:r>
        <w:rPr>
          <w:rFonts w:ascii="Times New Roman" w:hAnsi="Times New Roman"/>
        </w:rPr>
        <w:t>.0</w:t>
      </w:r>
      <w:r>
        <w:rPr>
          <w:rFonts w:hint="default" w:ascii="Times New Roman" w:hAnsi="Times New Roman"/>
          <w:lang w:val="ru-RU"/>
        </w:rPr>
        <w:t>9</w:t>
      </w:r>
      <w:r>
        <w:rPr>
          <w:rFonts w:ascii="Times New Roman" w:hAnsi="Times New Roman"/>
        </w:rPr>
        <w:t>.2025 г</w:t>
      </w:r>
    </w:p>
    <w:p w14:paraId="04A7B975">
      <w:pPr>
        <w:spacing w:before="0" w:beforeAutospacing="0" w:after="0" w:afterAutospacing="0" w:line="240" w:lineRule="atLeast"/>
        <w:jc w:val="center"/>
        <w:rPr>
          <w:rFonts w:ascii="Times New Roman" w:hAnsi="Times New Roman"/>
        </w:rPr>
      </w:pPr>
      <w:r>
        <w:rPr>
          <w:rFonts w:eastAsia="Calibr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81280</wp:posOffset>
            </wp:positionV>
            <wp:extent cx="2541905" cy="1483995"/>
            <wp:effectExtent l="0" t="0" r="3175" b="9525"/>
            <wp:wrapTight wrapText="bothSides">
              <wp:wrapPolygon>
                <wp:start x="0" y="0"/>
                <wp:lineTo x="0" y="21295"/>
                <wp:lineTo x="21497" y="21295"/>
                <wp:lineTo x="21497" y="0"/>
                <wp:lineTo x="0" y="0"/>
              </wp:wrapPolygon>
            </wp:wrapTight>
            <wp:docPr id="10" name="Изображение 2" descr="Печать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2" descr="Печать подпис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/>
          <w:lang w:val="ru-RU"/>
        </w:rPr>
        <w:t xml:space="preserve">                                                                                               </w:t>
      </w:r>
    </w:p>
    <w:p w14:paraId="4D98F639">
      <w:pPr>
        <w:jc w:val="right"/>
        <w:rPr>
          <w:rFonts w:ascii="Times New Roman" w:hAnsi="Times New Roman" w:eastAsia="Calibri"/>
        </w:rPr>
      </w:pPr>
    </w:p>
    <w:p w14:paraId="324D05B9">
      <w:pPr>
        <w:jc w:val="right"/>
        <w:rPr>
          <w:rFonts w:ascii="Times New Roman" w:hAnsi="Times New Roman" w:eastAsia="Calibri"/>
        </w:rPr>
      </w:pPr>
    </w:p>
    <w:p w14:paraId="2E550557">
      <w:pPr>
        <w:jc w:val="right"/>
        <w:rPr>
          <w:rFonts w:ascii="Times New Roman" w:hAnsi="Times New Roman" w:eastAsia="Calibri"/>
        </w:rPr>
      </w:pPr>
    </w:p>
    <w:p w14:paraId="58638DFE">
      <w:pPr>
        <w:jc w:val="right"/>
        <w:rPr>
          <w:rFonts w:ascii="Times New Roman" w:hAnsi="Times New Roman" w:eastAsia="Calibri"/>
        </w:rPr>
      </w:pPr>
    </w:p>
    <w:p w14:paraId="2CAD6E5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Апастовский муниципальный район</w:t>
      </w:r>
    </w:p>
    <w:p w14:paraId="2184E3B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МБОУ «Сатламышевская ООШ» (дорожная карта) </w:t>
      </w:r>
    </w:p>
    <w:p w14:paraId="5A3EEF1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мероприятий профориентационной направленности  </w:t>
      </w:r>
    </w:p>
    <w:p w14:paraId="5BC026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2025-2026 учебный год </w:t>
      </w:r>
    </w:p>
    <w:tbl>
      <w:tblPr>
        <w:tblStyle w:val="5"/>
        <w:tblpPr w:leftFromText="180" w:rightFromText="180" w:vertAnchor="text" w:horzAnchor="page" w:tblpX="796" w:tblpY="696"/>
        <w:tblOverlap w:val="never"/>
        <w:tblW w:w="1063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5340"/>
        <w:gridCol w:w="1730"/>
        <w:gridCol w:w="34"/>
        <w:gridCol w:w="2928"/>
      </w:tblGrid>
      <w:tr w14:paraId="7C7877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9D8952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</w:p>
          <w:p w14:paraId="1874D6E3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  <w:b/>
              </w:rPr>
              <w:t xml:space="preserve">п/п </w:t>
            </w:r>
          </w:p>
        </w:tc>
        <w:tc>
          <w:tcPr>
            <w:tcW w:w="53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 w14:paraId="02B6818D">
            <w:pPr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  <w:b/>
              </w:rPr>
              <w:t xml:space="preserve">Наименование мероприятия </w:t>
            </w:r>
          </w:p>
        </w:tc>
        <w:tc>
          <w:tcPr>
            <w:tcW w:w="1764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 w14:paraId="04F5FFC3">
            <w:pPr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  <w:b/>
              </w:rPr>
              <w:t xml:space="preserve">Срок исполнения </w:t>
            </w:r>
          </w:p>
        </w:tc>
        <w:tc>
          <w:tcPr>
            <w:tcW w:w="292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 w14:paraId="524384C3">
            <w:pPr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  <w:b/>
              </w:rPr>
              <w:t xml:space="preserve">Ответственные исполнители </w:t>
            </w:r>
          </w:p>
        </w:tc>
      </w:tr>
      <w:tr w14:paraId="1820E1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632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2809CD">
            <w:pPr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Организационно-методическое обеспечение деятельности  по реализации плана</w:t>
            </w:r>
            <w:r>
              <w:rPr>
                <w:rFonts w:ascii="Times New Roman" w:hAnsi="Times New Roman" w:eastAsia="Calibri"/>
              </w:rPr>
              <w:t xml:space="preserve"> </w:t>
            </w:r>
            <w:r>
              <w:rPr>
                <w:rFonts w:ascii="Times New Roman" w:hAnsi="Times New Roman"/>
              </w:rPr>
              <w:t>мероприятий профориентационной направленности</w:t>
            </w:r>
          </w:p>
        </w:tc>
      </w:tr>
      <w:tr w14:paraId="16B277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A49776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7B05F9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Утверждение перечня организация, реализующих основной уровень Единой модели профориентации в 2025/2026 учебном году</w:t>
            </w:r>
          </w:p>
        </w:tc>
        <w:tc>
          <w:tcPr>
            <w:tcW w:w="17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F585E0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август, 2025г</w:t>
            </w:r>
          </w:p>
        </w:tc>
        <w:tc>
          <w:tcPr>
            <w:tcW w:w="2962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49444A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014B7FD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267DC9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AD7094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9E6DD6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ответственных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ОО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за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реализацию деятельности:</w:t>
            </w:r>
          </w:p>
          <w:p w14:paraId="67D5F64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профильных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классов,</w:t>
            </w:r>
          </w:p>
          <w:p w14:paraId="4DCC659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-профориентационного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минимума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(далее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– профминимум)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84636F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август, 2025г.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8D0AB4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20CFF1E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3ABDC3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B70DCC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AD453F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Обучение педагогов-навигаторов образовательных организаций на платформе «Билет в будущее»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A1CB4D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август,2025г.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9C974D4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Гимадиева Г.И.</w:t>
            </w:r>
          </w:p>
        </w:tc>
      </w:tr>
      <w:tr w14:paraId="6E04AB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F62C90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CDF17A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Формирование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списка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ответственных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по профориентации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F2D3A1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август, 2025г.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EE2E6A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10E017C5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7C79D3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F5BE9B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89FB7D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повышения квалификаций педагогических работников, участвующих в    реализации Концепции «Успех» («Уӊыш»):</w:t>
            </w:r>
          </w:p>
          <w:p w14:paraId="59CAC3E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-«Организация деятельности профильных психологопедагогических классов в образовательных организациях»;</w:t>
            </w:r>
          </w:p>
          <w:p w14:paraId="1AE7909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- «Развитие системы агроклассов в Республике Татарстан»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3C84B7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8ECD7C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Отдел образования</w:t>
            </w:r>
          </w:p>
          <w:p w14:paraId="6945D1A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3F144E5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77949C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29291E4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878019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Утверждение плана мероприятий профориентационной направленности для обучающихся 6-11 классов Республики Татарстан на 2025/2026 учебный год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0F6EC5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август-  сентябрь 2025г.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2205BE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1578E6F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040019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07D2A6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DB14954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разъяснительной работы с педагогическими и управленческими работниками с заместителями директоров по воспитательной работе, педагогами-навигаторами образовательных организаций по</w:t>
            </w:r>
          </w:p>
          <w:p w14:paraId="367FCF5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 Единой модели профориентации</w:t>
            </w:r>
          </w:p>
          <w:p w14:paraId="495A1894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1C4430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сентябрь,   2025 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218B8D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4531E9C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2FBCD0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6B8DCE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C65B39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Проведение  ежеквартальных методических совещаний по вопросам реализации Концепции «Успех» («Уӊыш»)  с  заместителями директоров по воспитательной работе, педагогами-навигаторами образовательных организаций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CC7958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38C392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07B7D26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66B574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E5122E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BA294B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Разработка плана профориентационной работы на 2025/2026 учебный год в соответствии с установленным уровнем реализации Единой модели профориентации и региональным планом мероприятий профориентационной направленности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9EF7DB4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сентябрь,  2025 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2DE419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  <w:r>
              <w:rPr>
                <w:rFonts w:ascii="Times New Roman" w:hAnsi="Times New Roman" w:eastAsia="Calibri"/>
              </w:rPr>
              <w:t xml:space="preserve">, </w:t>
            </w: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658070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4C1B91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8BB041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Заключение соглашений о взаимодействии и</w:t>
            </w:r>
          </w:p>
          <w:p w14:paraId="418C8D3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сотрудничестве  между ОО и ключевыми</w:t>
            </w:r>
          </w:p>
          <w:p w14:paraId="3CFBF53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вуз/ссуз   партнерами  СМИ, общественными объединениями (далее – соглашения)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57BF31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сентябрь,  2025 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693873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2705FEC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462A2A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A0368D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E2BD15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Разработка и утверждение совместного плана мероприятий  с вуз/ссуз-партнерами  по реализации концепции в 2025-2026 учебном году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A61D5F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октябрь,  2025 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38C0B4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778492D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33DE1F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D360DC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BB0DDB4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Включение  профориентационного содержания в рабочие программы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D1A7B1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сентябрь,  2025 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EFC9D6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06C777E5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649933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B0006E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AE15C9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Сбор отчетов организаций, реализующих Единую модель профориентации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8B0690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сентябрь2025 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121EC0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0FECFFE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5430B0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E1747E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DBC948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Информирование о  Концепции «Успех» («Уӊыш»)  родителей (законных представителей) и обучающихся с целью уточнения запроса участников образовательных</w:t>
            </w:r>
          </w:p>
          <w:p w14:paraId="553DE27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организаций на обучение в профильных классах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E39DE8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сентябрь-октябрь,  2025 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10D2F9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6244F1F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738B39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C27F35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7EA829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Размещение на информационных ресурсах перечня программ дополнительного образования и программ профессиональной подготовки по профессиям и должностям рабочих и служащих, доступных для обучающихся 6-11 классов в 2025-2026 учебном году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089768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сентябрь-октябрь,  2025 г.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6E0BFDF">
            <w:pPr>
              <w:jc w:val="both"/>
              <w:rPr>
                <w:rFonts w:ascii="Times New Roman" w:hAnsi="Times New Roman" w:eastAsia="Calibri"/>
              </w:rPr>
            </w:pPr>
          </w:p>
          <w:p w14:paraId="1174D6D5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191581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8FBA83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12A035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повышения квалификаций педагогических работников, участвующих в    реализации плана  мероприятий профориентационной направленности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6BCE38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EF33E3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3A08A06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30AE00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F773D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4BD16D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Проведение   индивидуальных консультаций с педагогическими работниками, участвующих в реализации Концепции «Успех» («Уӊыш»)  плана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15D76E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E7A99C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2C719EB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03BA6C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CD302B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4B09CE5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круглого стола «Эффективные формы работы психолого-педагогических классов. Выявление и поддержка ранней педагогической одаренности»,  «Решение проблемных вопросов при функционировании педагогических классов», «Реализация профессиональной направленности при выполнении индивидуального проекта с обучающимися»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59E2DA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7A5F572">
            <w:pPr>
              <w:jc w:val="both"/>
              <w:rPr>
                <w:rFonts w:ascii="Times New Roman" w:hAnsi="Times New Roman" w:eastAsia="Calibri"/>
              </w:rPr>
            </w:pPr>
          </w:p>
          <w:p w14:paraId="2653472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6EDF319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139E58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94407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C09287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деятельности педагогических работников, осуществляющих в школе профориентационную работу на платформе «Билет в будущее» и взаимодействующих с Центром опережающей профессиональной подготовки ГАПОУ «Казанский педагогический колледж», включая их повышение квалификации на базе платформы «Билет в будущее», в т.ч. в рамках заключения отдельного соглашения с ГАПОУ «Казанский педагогический колледж»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B912E1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D401E5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  <w:p w14:paraId="7308A74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общеобразовательных организаций ГАПОУ «Казанский педагогический колледж»</w:t>
            </w:r>
          </w:p>
        </w:tc>
      </w:tr>
      <w:tr w14:paraId="322022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41B6DF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3DE7D4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Подготовка аналитических материалов по итогам реализации  Концепции «Успех» («Уӊыш») в 2024- 2025 учебном году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ED2FE6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Май, 2026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5840B5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53F2F1C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6A9C60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632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DAF55E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Мероприятия для обучающихся  в рамках регионального плана мероприятий профориентационной направленности</w:t>
            </w:r>
          </w:p>
        </w:tc>
      </w:tr>
      <w:tr w14:paraId="64D29D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457902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3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91A432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 и содействие в участии образовательных организаций в региональных, межрегиональных, всероссийских, международных мероприятиях по развитию системы предпрофильной подготовки, профильного обучения  профессионального</w:t>
            </w:r>
          </w:p>
          <w:p w14:paraId="228CCB5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самоопределения обучающихся</w:t>
            </w:r>
          </w:p>
        </w:tc>
        <w:tc>
          <w:tcPr>
            <w:tcW w:w="17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DFBDAF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C68FBD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2BD23DB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7032A3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562A1E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D24BC35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Посещение выставки «ЛАБОРАТОРИЯ БУДУЩЕГО» / «ЛАБОРАТОРИЯ БУДУЩЕГО 22» школьниками 6-11 классов, зарегистрированными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платформе </w:t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https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://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bvbinfo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.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ru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/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 </w:t>
            </w:r>
            <w:r>
              <w:rPr>
                <w:rStyle w:val="4"/>
              </w:rPr>
              <w:fldChar w:fldCharType="end"/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EB717A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F5F7CB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04BC200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7A6C46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048A6E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D3279E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Прохождение основных диагностик обучающимися общеобразовательных организаций на платформе </w:t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https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://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bvbinfo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.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ru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/</w:t>
            </w:r>
            <w:r>
              <w:rPr>
                <w:rStyle w:val="4"/>
              </w:rPr>
              <w:fldChar w:fldCharType="end"/>
            </w:r>
            <w:r>
              <w:fldChar w:fldCharType="begin"/>
            </w:r>
            <w:r>
              <w:instrText xml:space="preserve"> HYPERLINK "https://bvbinfo.ru/" </w:instrText>
            </w:r>
            <w:r>
              <w:fldChar w:fldCharType="separate"/>
            </w:r>
            <w:r>
              <w:rPr>
                <w:rStyle w:val="4"/>
              </w:rPr>
              <w:t> </w:t>
            </w:r>
            <w:r>
              <w:rPr>
                <w:rStyle w:val="4"/>
              </w:rPr>
              <w:fldChar w:fldCharType="end"/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5A3768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054F21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211CACF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344815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51D448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741D94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Фестиваль инженерных профессий (на базе ОЭЗ «Алабуга»)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885F85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92D7F2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2A4247C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Руководители общеобразовательного организация </w:t>
            </w:r>
          </w:p>
        </w:tc>
      </w:tr>
      <w:tr w14:paraId="5545B6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8639D1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60E206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профориентационной деятельности школ – партнеров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1C7BB9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A3AB06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1884C24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30272B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A3111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1BAC26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Посещение в школах-партнерах занятий курса «Россия - мои горизонты», педагогического совета, встреч с родителями и партнерами (работодателями)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986242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A9A34B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5ADA233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57A981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nil"/>
              <w:right w:val="outset" w:color="auto" w:sz="6" w:space="0"/>
            </w:tcBorders>
            <w:vAlign w:val="center"/>
          </w:tcPr>
          <w:p w14:paraId="42BDEF3C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73B01E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Реализация Единой модели профориентации общеобразовательными организациями Республики Татарстан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CFF756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1AD542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39FA031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160916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nil"/>
              <w:right w:val="outset" w:color="auto" w:sz="6" w:space="0"/>
            </w:tcBorders>
            <w:vAlign w:val="center"/>
          </w:tcPr>
          <w:p w14:paraId="738D3769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AB35BB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Курс занятий «Россия </w:t>
            </w:r>
            <w:r>
              <w:rPr>
                <w:rFonts w:ascii="Times New Roman" w:hAnsi="Times New Roman"/>
                <w:color w:val="161616"/>
              </w:rPr>
              <w:t xml:space="preserve">— </w:t>
            </w:r>
            <w:r>
              <w:rPr>
                <w:rFonts w:ascii="Times New Roman" w:hAnsi="Times New Roman"/>
              </w:rPr>
              <w:t>мои горизонты› (Направление «Внеурочная деятельность»)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C86A33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735104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01315DA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11C952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D3B54E1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53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32094D5">
            <w:pPr>
              <w:tabs>
                <w:tab w:val="center" w:pos="465"/>
                <w:tab w:val="center" w:pos="615"/>
                <w:tab w:val="center" w:pos="1425"/>
                <w:tab w:val="center" w:pos="1845"/>
                <w:tab w:val="center" w:pos="2040"/>
                <w:tab w:val="center" w:pos="2655"/>
                <w:tab w:val="center" w:pos="2895"/>
                <w:tab w:val="center" w:pos="3750"/>
                <w:tab w:val="center" w:pos="30000"/>
                <w:tab w:val="center" w:pos="31680"/>
              </w:tabs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Родительское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собрание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профориентации</w:t>
            </w:r>
          </w:p>
          <w:p w14:paraId="028468F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(Направление «Взаимодействие с родителями»)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EFBF7C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AC0596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5521DEF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6F8F9B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F3BA2AB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53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1ECF3C7">
            <w:pPr>
              <w:tabs>
                <w:tab w:val="center" w:pos="720"/>
                <w:tab w:val="center" w:pos="945"/>
                <w:tab w:val="center" w:pos="1920"/>
                <w:tab w:val="center" w:pos="2490"/>
                <w:tab w:val="center" w:pos="3120"/>
                <w:tab w:val="center" w:pos="3240"/>
                <w:tab w:val="center" w:pos="4050"/>
                <w:tab w:val="center" w:pos="10000"/>
                <w:tab w:val="center" w:pos="31680"/>
              </w:tabs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Профориентационные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модули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предмете</w:t>
            </w:r>
          </w:p>
          <w:p w14:paraId="1072D0D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«Наименование предмета (-тов)»</w:t>
            </w:r>
          </w:p>
          <w:p w14:paraId="2BB9AB3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(Направление «Урочная деятельность»)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092A09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6F4550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 МБОУ «Сатламышевская ООШ» Апастовского   муниципального района</w:t>
            </w:r>
          </w:p>
          <w:p w14:paraId="0FD7594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78D9AE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7E89C69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53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50FD681">
            <w:pPr>
              <w:tabs>
                <w:tab w:val="center" w:pos="735"/>
                <w:tab w:val="center" w:pos="960"/>
                <w:tab w:val="center" w:pos="1920"/>
                <w:tab w:val="center" w:pos="2490"/>
                <w:tab w:val="center" w:pos="3120"/>
                <w:tab w:val="center" w:pos="3240"/>
                <w:tab w:val="center" w:pos="4050"/>
                <w:tab w:val="center" w:pos="10000"/>
                <w:tab w:val="center" w:pos="31680"/>
              </w:tabs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Профориентационные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модули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предмете</w:t>
            </w:r>
          </w:p>
          <w:p w14:paraId="099F435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  <w:i/>
              </w:rPr>
              <w:t>«Наименование предмета (-тов)»</w:t>
            </w:r>
          </w:p>
          <w:p w14:paraId="53E461B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(Направление «Урочная деятельность»)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09BC9A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781671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455E8E4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36E10A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14E26E2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53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5A97E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Посещение выставки «Лаборатория будущего» (Направление «Практико-ориентированный модуль»)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30C4DD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09AF7A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2665376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50B024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E7772B9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53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36AEC1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предприятия,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учреждения, профессиональные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образовательные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организации, высшие учебные заведения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E5AD3B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09B908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1B60CD7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13B057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4F8D985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53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D4AFAE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(Направление «Практико-ориентированный модуль»)</w:t>
            </w:r>
          </w:p>
          <w:p w14:paraId="4CD2F5D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Перечень предлагаемых учреждений и предприятий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B4A6BE5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613D935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21C266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5691CB4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53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0BF8D9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Участие обучающихся в конкурсах профориентационной направленности, в том числе чемпионаты «Абилимпикс», «Профессионалы» и др. (Направление «Практико-ориентированный модуль»). На выбор образовательной организации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94D445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FDADE2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54DF70A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59FB14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003F9CD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53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8D55D8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Выбор и посещение ознакомительных занятий в рамках дополнительного образования</w:t>
            </w:r>
          </w:p>
          <w:p w14:paraId="638A0B6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(Направление «Дополнительное образование»)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7F17C2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C14BC0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057DCF8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0C866F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56FD830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53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9A7BB7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и функционирование профильных предпрофессиональных классов (по отдельному плану для каждого направления)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E2E544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DA87EE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7DADBDD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172A53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474D8D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AB693D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Координация деятельности и взаимодействия ОО с партнерами проекта, учреждениями CПO, ВО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EB2395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2776BD4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0E9A970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208176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200484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D6C560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взаимодействия образовательных организаций с муниципальными организациями,</w:t>
            </w:r>
          </w:p>
          <w:p w14:paraId="6128F17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предприятиями целевой направленности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9E87DC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317795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3820949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7A279D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051672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36301D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и проведение творческих мастерских со студентами вузов, ссузов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6A4205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B9C4EF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39278AE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5BB33C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CF96F4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17A4D3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участия обучающихся в конкурсах, конференциях, олимпиадах на базе вузов, ссузов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38A784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496A14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2E24DC7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3D5992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FA078D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759688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профориентационного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тестирования обучающихся  профильных классов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FFD77F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278979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107388C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02D4ED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A82664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ACA19A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 профориентационных мероприятий с участием представителей различных профессий района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9040D9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D691BC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43DA8F9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0B253E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B930B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B9B7CA4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Координация организаций экскурсий обучающихся в  организации, предприятии, ссузы, вузы целевой направленности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CD03F1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605C18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0A2D986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23B904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C8A3E5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595CD2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участия  педагогов и обучающихся профильных классов научно-практических  конференциях  проектных и исследовательских работ.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A3D8FA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338F019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3EC4AB54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053D6D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8AFC39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42C92E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участия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обучающихся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аграрной направленности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во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Всероссийском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конкурсе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юных аграриев «Я в АГРО», «Профессионвлы», «АгроНТРИ», «Абилимпикс» и др.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DAA371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648209F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20106638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6E1020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784F33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BFF8BD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 участия обучающихся инженерных классов в мероприятиях проекта «Инженерная республика»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652BD2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ED845D4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629D6E97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0F4B91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2D28E2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C39CD5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Трудоустройство через Центры занятости в период каникул с учетом принятого Федерального закона от 07.04.2025 № 63-ФЗ «О внесении изменения в статью 268</w:t>
            </w:r>
          </w:p>
          <w:p w14:paraId="0F6CB2E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Трудового кодекса Российской Федерации»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B9AEF2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май-август, 2026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D54EA51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Центр занятости,</w:t>
            </w:r>
          </w:p>
          <w:p w14:paraId="475C67A7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20FC8E1E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7A7E5C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53D09B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217D20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Взаимодействие и использование ресурсов учреждений системы дополнительного образования и иных организаций, объектов социальной инфраструктуры в рамках исполнения пункта 3 Перечня поручений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D795CB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279448D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6111989D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0B1B6C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CBE76F4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3E401D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семинар-практикума «Погружение в профессию» для обучающихся психолого-педагогических</w:t>
            </w:r>
          </w:p>
          <w:p w14:paraId="2502545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классов с участием победителей и призёров конкурса «Учитель года»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34EAC9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5EB8B23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10B8139C">
            <w:pPr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1C48DE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8944C7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28410C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Содействие в участие в вебинарах, в рамках проекта «Час классного руководителя»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0D98AF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36407C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0441809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0371C7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DEB4B8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917A8A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Организация мероприятий в формате онлайн встреч для профильных классов с: КНИТУ-КАИ, КФУ, ФГБОУ ВО КГЭУ, КГМУ, КГАУ, КГАВМ,  Институт психологии и образования КФУ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197ED4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2DC530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0BD024E4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3BBF08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C54D1F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BB573E4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Осуществление профориентационной работы по знакомству обучающихся 5-9, 10-11-х классов с профессиями, требующими педагогических компетенций: проведение классных часов; просмотр всероссийских открытых уроков «Проектория»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4CC657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3F3D43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373E9E4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13B9C4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C46ACB3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69646B7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Создание проектов: «Творческая мастерская вожатого», «Юные аграрии»</w:t>
            </w:r>
          </w:p>
        </w:tc>
        <w:tc>
          <w:tcPr>
            <w:tcW w:w="17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C2CC8A5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5E69B10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2802340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664746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632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5AED00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Мониторинг реализации плана</w:t>
            </w:r>
          </w:p>
        </w:tc>
      </w:tr>
      <w:tr w14:paraId="726007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8701F2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3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C2E8630">
            <w:pPr>
              <w:jc w:val="both"/>
              <w:rPr>
                <w:rFonts w:ascii="Times New Roman" w:hAnsi="Times New Roman" w:eastAsia="Calibri"/>
              </w:rPr>
            </w:pPr>
          </w:p>
          <w:p w14:paraId="5BE755B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 xml:space="preserve">Мониторинг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реализации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Единой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модели профориентации</w:t>
            </w:r>
          </w:p>
        </w:tc>
        <w:tc>
          <w:tcPr>
            <w:tcW w:w="1764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700491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декабрь-январь</w:t>
            </w:r>
          </w:p>
          <w:p w14:paraId="7F8CD259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2025г., май-июнь 2026г.</w:t>
            </w:r>
          </w:p>
        </w:tc>
        <w:tc>
          <w:tcPr>
            <w:tcW w:w="292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B4CB1B2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Региональный оператор - ЦОПП</w:t>
            </w:r>
          </w:p>
        </w:tc>
      </w:tr>
      <w:tr w14:paraId="67C4CF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84D679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75DE61A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Консультации специалистов по профориентации ОО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A58C04E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28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6D8FE8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Региональный оператор - ЦОПП</w:t>
            </w:r>
          </w:p>
        </w:tc>
      </w:tr>
      <w:tr w14:paraId="54E42C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3FBBAF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0977D6F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Подготовка аналитических материалов по итогам реализации  Концепции «Успех» («Уӊыш») в 2025- 2026 учебном году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031CCD5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май-июнь 2026г.</w:t>
            </w:r>
          </w:p>
        </w:tc>
        <w:tc>
          <w:tcPr>
            <w:tcW w:w="2928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EF5B40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1118195C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  <w:tr w14:paraId="66F30D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972F148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3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3CE459C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Подготовка аналитических материалов по итогам реализации   муниципального плана (дорожной карты) мероприятий профориентационной направленности</w:t>
            </w:r>
          </w:p>
          <w:p w14:paraId="4E0C0646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Апастовского  муниципального района на 2025-2026 учебный год</w:t>
            </w:r>
          </w:p>
          <w:p w14:paraId="2FB689D0">
            <w:pPr>
              <w:jc w:val="both"/>
              <w:rPr>
                <w:rFonts w:ascii="Times New Roman" w:hAnsi="Times New Roman" w:eastAsia="Calibri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5985E9D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май-июнь 2026г.</w:t>
            </w:r>
          </w:p>
        </w:tc>
        <w:tc>
          <w:tcPr>
            <w:tcW w:w="2928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27DB8AB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МБОУ «Сатламышевская ООШ» Апастовского   муниципального района</w:t>
            </w:r>
          </w:p>
          <w:p w14:paraId="1FA84B71">
            <w:pPr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/>
              </w:rPr>
              <w:t>Руководители общеобразовательного организация</w:t>
            </w:r>
          </w:p>
        </w:tc>
      </w:tr>
    </w:tbl>
    <w:p w14:paraId="7713716D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7A000282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08DE839E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31DF0CF3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17E98096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10F243B8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07BAC509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02F5B58C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5FDA18F1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01FEC80B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4ACA18A4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722DF982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48F42699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07508DB5">
      <w:pPr>
        <w:jc w:val="right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416F090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9A"/>
    <w:rsid w:val="003D1F9A"/>
    <w:rsid w:val="006C2101"/>
    <w:rsid w:val="007D14A7"/>
    <w:rsid w:val="00CD0301"/>
    <w:rsid w:val="00EC6118"/>
    <w:rsid w:val="0A7B2306"/>
    <w:rsid w:val="4F9531E9"/>
    <w:rsid w:val="6E4D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table" w:styleId="5">
    <w:name w:val="Table Grid"/>
    <w:basedOn w:val="3"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2483</Words>
  <Characters>14158</Characters>
  <Lines>117</Lines>
  <Paragraphs>33</Paragraphs>
  <TotalTime>0</TotalTime>
  <ScaleCrop>false</ScaleCrop>
  <LinksUpToDate>false</LinksUpToDate>
  <CharactersWithSpaces>16608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2026-02-16T01:48:00Z</dcterms:created>
  <dc:creator>Бурганова Раиса</dc:creator>
  <cp:lastModifiedBy>Бурганова Раиса</cp:lastModifiedBy>
  <dcterms:modified xsi:type="dcterms:W3CDTF">2026-02-24T11:29:37Z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8681D4F417324D168E06F5BF73C5C811_12</vt:lpwstr>
  </property>
</Properties>
</file>